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72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kern w:val="0"/>
          <w:sz w:val="32"/>
          <w:szCs w:val="32"/>
        </w:rPr>
        <w:t>附件</w:t>
      </w:r>
      <w:r>
        <w:rPr>
          <w:rFonts w:hint="eastAsia" w:ascii="仿宋_GB2312" w:eastAsia="仿宋_GB2312"/>
          <w:b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eastAsia="仿宋_GB2312"/>
          <w:b/>
          <w:kern w:val="0"/>
          <w:sz w:val="32"/>
          <w:szCs w:val="32"/>
        </w:rPr>
        <w:t>：</w:t>
      </w:r>
    </w:p>
    <w:p>
      <w:pPr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评审要点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5250"/>
        <w:gridCol w:w="1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014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评审要点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百分比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1764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创新性</w:t>
            </w:r>
          </w:p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40%</w:t>
            </w:r>
          </w:p>
        </w:tc>
        <w:tc>
          <w:tcPr>
            <w:tcW w:w="5250" w:type="dxa"/>
            <w:vAlign w:val="center"/>
          </w:tcPr>
          <w:p>
            <w:pPr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突出原始创意的价值，不鼓励模仿。强调利用互联网技术、方法和思维在销售、研发、生产、物流、信息、人力、管理等方面寻求突破和创新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40%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1764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商业性</w:t>
            </w:r>
          </w:p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30%</w:t>
            </w:r>
          </w:p>
        </w:tc>
        <w:tc>
          <w:tcPr>
            <w:tcW w:w="5250" w:type="dxa"/>
            <w:vAlign w:val="center"/>
          </w:tcPr>
          <w:p>
            <w:pPr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在商业模式方面，强调设计的完整性与可行性，完整地描述商业模式，评测其盈利能力推导过程的合理性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5250" w:type="dxa"/>
            <w:vAlign w:val="center"/>
          </w:tcPr>
          <w:p>
            <w:pPr>
              <w:spacing w:line="259" w:lineRule="auto"/>
              <w:ind w:right="-14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在机会识别与利用、竞争与合作、技术基础、产品或服务设计、资金及人员需求、现行法律法规限制等方面具有可行性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5250" w:type="dxa"/>
            <w:vAlign w:val="center"/>
          </w:tcPr>
          <w:p>
            <w:pPr>
              <w:spacing w:line="259" w:lineRule="auto"/>
              <w:ind w:right="-14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在调查研究方面，考察行业调查研究程度，项目市场、技术等调查工作是否形成一手资料，强调田野调查和实际操作检验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1764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团队情况</w:t>
            </w:r>
          </w:p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20%</w:t>
            </w:r>
          </w:p>
        </w:tc>
        <w:tc>
          <w:tcPr>
            <w:tcW w:w="5250" w:type="dxa"/>
            <w:vAlign w:val="center"/>
          </w:tcPr>
          <w:p>
            <w:pPr>
              <w:spacing w:line="259" w:lineRule="auto"/>
              <w:ind w:right="-14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管理团队各成员的教育背景和工作背景丰富、价值观念正、成员分工合理、业务互补情况良好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5250" w:type="dxa"/>
            <w:vAlign w:val="center"/>
          </w:tcPr>
          <w:p>
            <w:pPr>
              <w:spacing w:line="259" w:lineRule="auto"/>
              <w:ind w:right="-14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公司的组织构架、人员配置安排科学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5250" w:type="dxa"/>
            <w:vAlign w:val="center"/>
          </w:tcPr>
          <w:p>
            <w:pPr>
              <w:spacing w:line="259" w:lineRule="auto"/>
              <w:ind w:right="-14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有创业顾问，主要投资人和持股情况合理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5250" w:type="dxa"/>
            <w:vAlign w:val="center"/>
          </w:tcPr>
          <w:p>
            <w:pPr>
              <w:spacing w:line="259" w:lineRule="auto"/>
              <w:ind w:right="-14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有战略合作企业，与战略合作企业关系和谐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764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5250" w:type="dxa"/>
            <w:vAlign w:val="center"/>
          </w:tcPr>
          <w:p>
            <w:pPr>
              <w:spacing w:line="259" w:lineRule="auto"/>
              <w:ind w:right="-14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团队具有实现具体方案的可能资源基础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764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带动就业前景</w:t>
            </w:r>
          </w:p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10%</w:t>
            </w:r>
          </w:p>
        </w:tc>
        <w:tc>
          <w:tcPr>
            <w:tcW w:w="5250" w:type="dxa"/>
            <w:vAlign w:val="center"/>
          </w:tcPr>
          <w:p>
            <w:pPr>
              <w:spacing w:line="259" w:lineRule="auto"/>
              <w:ind w:right="-14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项目发展战略和规模扩张策略的合理可行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764" w:type="dxa"/>
            <w:vMerge w:val="continue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5250" w:type="dxa"/>
            <w:vAlign w:val="center"/>
          </w:tcPr>
          <w:p>
            <w:pPr>
              <w:spacing w:line="259" w:lineRule="auto"/>
              <w:ind w:right="-14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项目可能带动社会就业规模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5%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FA4144"/>
    <w:rsid w:val="25FA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2019-04-16T08:51:00Z</dcterms:created>
  <dc:creator>刘伟豪</dc:creator>
  <cp:lastModifiedBy>刘伟豪</cp:lastModifiedBy>
  <dcterms:modified xsi:type="dcterms:W3CDTF">2019-04-16T08:51:36Z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